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16</w:t>
      </w:r>
    </w:p>
    <w:p>
      <w:r>
        <w:t>Bundesgericht (BGE), 1994-04-07, DE</w:t>
      </w:r>
    </w:p>
    <w:p>
      <w:r>
        <w:rPr>
          <w:b/>
        </w:rPr>
        <w:t xml:space="preserve">Quelle: </w:t>
      </w:r>
      <w:r>
        <w:t>https://mcp.opencaselaw.ch/entscheid/bge_120 III 16</w:t>
      </w:r>
    </w:p>
    <w:p>
      <w:r>
        <w:t>FR: ATF 120 III 16</w:t>
      </w:r>
    </w:p>
    <w:p>
      <w:r>
        <w:t>IT: DTF 120 III 16</w:t>
      </w:r>
    </w:p>
    <w:p>
      <w:pPr>
        <w:pStyle w:val="Heading2"/>
      </w:pPr>
      <w:r>
        <w:t>Regeste</w:t>
      </w:r>
    </w:p>
    <w:p>
      <w:r>
        <w:t>Regeste Berechnung des Existenzminimums (Art. 93 SchKG, Art. 2 ZGB). Dem Schuldner, der entgegen einer gerichtlichen Obhutsregelung seine Kinder zu sich nimmt und in natura für ihren Unterhalt aufkommt, stehen bei der Berechnung seines Existenzminimums keine Unterhaltszuschläge zum Grundbetrag und keine Auslagen für eine Haushalthilfe zu.</w:t>
      </w:r>
    </w:p>
    <w:p>
      <w:pPr>
        <w:pStyle w:val="Heading2"/>
      </w:pPr>
      <w:r>
        <w:t>Erwägungen</w:t>
      </w:r>
    </w:p>
    <w:p>
      <w:r>
        <w:rPr>
          <w:b/>
        </w:rPr>
        <w:t>E. 2</w:t>
      </w:r>
    </w:p>
    <w:p>
      <w:r>
        <w:t>Anlass zum Rekurs gibt die Berechnung des Existenzminimums, soweit die kantonale Aufsichtsbehörde - unabhängig ob die betreibungsrechtlichen Richtlinien vom 1. April 1992 oder diejenigen vom 1. Januar 1994 zur Anwendung gelangen - den Unterhalt der beiden beim Schuldner wohnenden Kinder beim Grundbetrag nicht berücksichtigte und die Auslagen für eine Haushalthilfe strich. a) Einkünfte können nur in dem Umfang gepfändet werden, als sie nicht nach dem Ermessen des Betreibungsbeamten für den Schuldner und seine Familie unumgänglich notwendig sind ( Art. 93 SchKG ). Die von der Konferenz der Betreibungs- und Konkursbeamten der Schweiz erlassenen Richtlinien richten daher den Grundbetrag nach der familiären Wohnsituation aus und sehen für den Unterhalt von Kindern altersmässig abgestufte Unterhaltszuschläge vor ( BGE 119 III 70 E. 3a S. 72). b) Im vorliegenden Fall stellte das Vizegerichtspräsidium Frauenfeld die beiden minderjährigen Kinder der Ehegatten B. am 19. September 1991 für die Dauer des Scheidungsverfahrens unter die Obhut der Mutter, welche Regelung im Zeitpunkt der Pfändung immer noch gültig war. Ebenso blieb der Rekurrent gegenüber seinen Kindern nach wie vor im Umfang des Massnahmeentscheides unterhaltspflichtig. c) Der Rekurrent besteht nun aber nicht auf der Berücksichtigung der ihm auferlegten Kinderunterhaltsbeiträge, was die Rechtsprechung ohnehin nur zulässt, falls diese tatsächlich geleistet werden ( BGE 111 III 13 E. 4 S. 15), sondern beansprucht die in den betreibungsrechtlichen Richtlinien für den Unterhalt von Kindern vorgesehenen Zuschläge sowie die Auslagen für eine Haushalthilfe. Dem ist entgegenzuhalten, dass er nicht verpflichtet BGE 120 III 16 S. 18 ist, die beiden Kinder zu sich zu nehmen und in natura für ihren Unterhalt aufzukommen. Tut er dies gleichwohl und vor allem entgegen einer gerichtlichen Obhutsregelung, sind die ihm durch sein Verhalten entstandenen Auslagen bei der Berechnung des Existenzminimums nicht zu berücksichtigen. Jede andere Betrachtungsweise widerspräche dem Grundsatz von Treu und Glauben ( Art. 2 ZGB ), der auch im Rahmen des gestützt auf Art. 19 Abs. 1 SchKG erhobenen Rekurses zu beachten ist ( BGE 117 III 44 E. 2a S. 46). d) Das Existenzminimum des Rekurrenten bleibt nicht nur nach der von ihm verteidigten Berechnungsweise des Betreibungsamtes, sondern auch nach derjenigen des angefochtenen Entscheides gedeckt. Überdies hat die kantonale Aufsichtsbehörde festgestellt, dass die Gläubigerin ihre Lebens- und Wohnsituation auf die Betreuung der Kinder ausgerichtet habe, was mit Unkosten verbunden sei. Damit ist der Umfang der aufgrund des von der kantonalen Aufsichtsbehörde festgelegten Notbedarfs möglichen Pfändung keineswegs nichtig ( BGE 111 III 13 E. 5 S. 15 und E. 7 S. 20). Der sich als unbegründet erweisende Rekurs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